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黑体"/>
          <w:color w:val="000000"/>
          <w:sz w:val="32"/>
          <w:lang w:val="en-US" w:eastAsia="zh-CN"/>
        </w:rPr>
      </w:pPr>
      <w:r>
        <w:rPr>
          <w:rFonts w:ascii="Times New Roman" w:hAnsi="Times New Roman" w:eastAsia="黑体"/>
          <w:color w:val="000000"/>
          <w:sz w:val="32"/>
        </w:rPr>
        <w:t>附件</w:t>
      </w:r>
      <w:r>
        <w:rPr>
          <w:rFonts w:hint="eastAsia" w:ascii="Times New Roman" w:hAnsi="Times New Roman" w:eastAsia="黑体"/>
          <w:color w:val="000000"/>
          <w:sz w:val="32"/>
          <w:lang w:val="en-US" w:eastAsia="zh-CN"/>
        </w:rPr>
        <w:t>2-1</w:t>
      </w:r>
    </w:p>
    <w:p>
      <w:pPr>
        <w:keepNext w:val="0"/>
        <w:keepLines w:val="0"/>
        <w:pageBreakBefore w:val="0"/>
        <w:kinsoku/>
        <w:wordWrap/>
        <w:overflowPunct/>
        <w:topLinePunct w:val="0"/>
        <w:bidi w:val="0"/>
        <w:snapToGrid w:val="0"/>
        <w:spacing w:line="586" w:lineRule="exact"/>
        <w:jc w:val="center"/>
        <w:textAlignment w:val="auto"/>
        <w:rPr>
          <w:rFonts w:hint="default" w:ascii="Times New Roman" w:hAnsi="Times New Roman" w:eastAsia="方正小标宋_GBK" w:cs="Times New Roman"/>
          <w:b w:val="0"/>
          <w:bCs/>
          <w:color w:val="000000"/>
          <w:sz w:val="44"/>
          <w:szCs w:val="44"/>
        </w:rPr>
      </w:pPr>
    </w:p>
    <w:p>
      <w:pPr>
        <w:keepNext w:val="0"/>
        <w:keepLines w:val="0"/>
        <w:pageBreakBefore w:val="0"/>
        <w:kinsoku/>
        <w:wordWrap/>
        <w:overflowPunct/>
        <w:topLinePunct w:val="0"/>
        <w:bidi w:val="0"/>
        <w:snapToGrid w:val="0"/>
        <w:spacing w:line="586" w:lineRule="exact"/>
        <w:jc w:val="center"/>
        <w:textAlignment w:val="auto"/>
        <w:rPr>
          <w:rFonts w:hint="default" w:ascii="Times New Roman" w:hAnsi="Times New Roman" w:eastAsia="方正小标宋_GBK" w:cs="Times New Roman"/>
          <w:b w:val="0"/>
          <w:bCs/>
          <w:color w:val="000000"/>
          <w:w w:val="90"/>
          <w:sz w:val="44"/>
          <w:szCs w:val="44"/>
        </w:rPr>
      </w:pPr>
      <w:r>
        <w:rPr>
          <w:rFonts w:hint="default" w:ascii="Times New Roman" w:hAnsi="Times New Roman" w:eastAsia="方正小标宋_GBK" w:cs="Times New Roman"/>
          <w:b w:val="0"/>
          <w:bCs/>
          <w:color w:val="000000"/>
          <w:sz w:val="44"/>
          <w:szCs w:val="44"/>
        </w:rPr>
        <w:t>2024年度农业主推技术介绍材料</w:t>
      </w:r>
    </w:p>
    <w:p>
      <w:pPr>
        <w:keepNext w:val="0"/>
        <w:keepLines w:val="0"/>
        <w:pageBreakBefore w:val="0"/>
        <w:kinsoku/>
        <w:wordWrap/>
        <w:overflowPunct/>
        <w:topLinePunct w:val="0"/>
        <w:bidi w:val="0"/>
        <w:spacing w:line="586" w:lineRule="exact"/>
        <w:jc w:val="center"/>
        <w:textAlignment w:val="auto"/>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技术名称：</w:t>
      </w:r>
      <w:r>
        <w:rPr>
          <w:rFonts w:hint="default" w:ascii="Times New Roman" w:hAnsi="Times New Roman" w:eastAsia="方正小标宋_GBK" w:cs="Times New Roman"/>
          <w:b w:val="0"/>
          <w:bCs/>
          <w:kern w:val="36"/>
          <w:sz w:val="44"/>
          <w:szCs w:val="44"/>
        </w:rPr>
        <w:t>大豆玉米带状复合种植技术</w:t>
      </w:r>
    </w:p>
    <w:p>
      <w:pPr>
        <w:keepNext w:val="0"/>
        <w:keepLines w:val="0"/>
        <w:pageBreakBefore w:val="0"/>
        <w:kinsoku/>
        <w:wordWrap/>
        <w:overflowPunct/>
        <w:topLinePunct w:val="0"/>
        <w:bidi w:val="0"/>
        <w:adjustRightInd w:val="0"/>
        <w:snapToGrid w:val="0"/>
        <w:spacing w:line="586" w:lineRule="exact"/>
        <w:ind w:firstLine="640" w:firstLineChars="200"/>
        <w:textAlignment w:val="auto"/>
        <w:rPr>
          <w:rFonts w:ascii="Times New Roman" w:hAnsi="Times New Roman" w:eastAsia="黑体"/>
          <w:b w:val="0"/>
          <w:bCs/>
          <w:color w:val="000000"/>
          <w:sz w:val="32"/>
          <w:szCs w:val="32"/>
        </w:rPr>
      </w:pPr>
    </w:p>
    <w:p>
      <w:pPr>
        <w:keepNext w:val="0"/>
        <w:keepLines w:val="0"/>
        <w:pageBreakBefore w:val="0"/>
        <w:kinsoku/>
        <w:wordWrap/>
        <w:overflowPunct/>
        <w:topLinePunct w:val="0"/>
        <w:bidi w:val="0"/>
        <w:adjustRightInd w:val="0"/>
        <w:snapToGrid w:val="0"/>
        <w:spacing w:line="586" w:lineRule="exact"/>
        <w:ind w:firstLine="640" w:firstLineChars="200"/>
        <w:textAlignment w:val="auto"/>
        <w:rPr>
          <w:rFonts w:hint="default" w:ascii="Times New Roman" w:hAnsi="Times New Roman" w:eastAsia="黑体" w:cs="Times New Roman"/>
          <w:b w:val="0"/>
          <w:bCs/>
          <w:color w:val="000000"/>
          <w:sz w:val="32"/>
          <w:szCs w:val="32"/>
        </w:rPr>
      </w:pPr>
      <w:r>
        <w:rPr>
          <w:rFonts w:hint="default" w:ascii="Times New Roman" w:hAnsi="Times New Roman" w:eastAsia="黑体" w:cs="Times New Roman"/>
          <w:b w:val="0"/>
          <w:bCs/>
          <w:color w:val="000000"/>
          <w:sz w:val="32"/>
          <w:szCs w:val="32"/>
        </w:rPr>
        <w:t>一、技术概述</w:t>
      </w:r>
    </w:p>
    <w:p>
      <w:pPr>
        <w:keepNext w:val="0"/>
        <w:keepLines w:val="0"/>
        <w:pageBreakBefore w:val="0"/>
        <w:numPr>
          <w:ilvl w:val="0"/>
          <w:numId w:val="1"/>
        </w:numPr>
        <w:kinsoku/>
        <w:wordWrap/>
        <w:overflowPunct/>
        <w:topLinePunct w:val="0"/>
        <w:bidi w:val="0"/>
        <w:snapToGrid w:val="0"/>
        <w:spacing w:line="586" w:lineRule="exact"/>
        <w:ind w:firstLine="640" w:firstLineChars="200"/>
        <w:textAlignment w:val="auto"/>
        <w:rPr>
          <w:rFonts w:hint="default" w:ascii="Times New Roman" w:hAnsi="Times New Roman" w:eastAsia="楷体_GB2312" w:cs="Times New Roman"/>
          <w:b w:val="0"/>
          <w:bCs/>
          <w:color w:val="000000"/>
          <w:sz w:val="32"/>
          <w:szCs w:val="32"/>
        </w:rPr>
      </w:pPr>
      <w:r>
        <w:rPr>
          <w:rFonts w:hint="default" w:ascii="Times New Roman" w:hAnsi="Times New Roman" w:eastAsia="楷体" w:cs="Times New Roman"/>
          <w:b w:val="0"/>
          <w:bCs/>
          <w:color w:val="000000"/>
          <w:sz w:val="32"/>
          <w:szCs w:val="32"/>
        </w:rPr>
        <w:t>技术基本情况</w:t>
      </w:r>
      <w:r>
        <w:rPr>
          <w:rFonts w:hint="default" w:ascii="Times New Roman" w:hAnsi="Times New Roman" w:eastAsia="楷体_GB2312" w:cs="Times New Roman"/>
          <w:b w:val="0"/>
          <w:bCs/>
          <w:color w:val="000000"/>
          <w:sz w:val="32"/>
          <w:szCs w:val="32"/>
        </w:rPr>
        <w:t>（技术研发推广背景，能够解决的主要问题、知识产权及使用情况等）</w:t>
      </w:r>
    </w:p>
    <w:p>
      <w:pPr>
        <w:pStyle w:val="9"/>
        <w:keepNext w:val="0"/>
        <w:keepLines w:val="0"/>
        <w:pageBreakBefore w:val="0"/>
        <w:kinsoku/>
        <w:wordWrap/>
        <w:overflowPunct/>
        <w:topLinePunct w:val="0"/>
        <w:bidi w:val="0"/>
        <w:spacing w:line="586" w:lineRule="exact"/>
        <w:ind w:firstLine="56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带状复合种植是基于农作物传统间套作创新发展而来，采用2～3行小株距密植玉米带与2～5行大豆带间作或套种复合种植，让高位作物（玉米）边行优势更为突出，低位作物（大豆）受光空间更为充分，并适应机械化作业，实现玉米带和大豆带共生期内优势互补、和谐共生、环境友好的一种高产高效间套种模式。推行大豆玉米带状复合种植，通过扩距增光、缩株保密、腾地种豆，创新耕种模式，有利于协调解决大豆、玉米产业发展中比较突出的、争地的矛盾，有利于缓解我国大豆产能严重不足的问题，有利于培肥地力、用地养地结合，促进农业可持续发展，有利于促进农民增产增收、助力乡村产业振兴。</w:t>
      </w:r>
    </w:p>
    <w:p>
      <w:pPr>
        <w:keepNext w:val="0"/>
        <w:keepLines w:val="0"/>
        <w:pageBreakBefore w:val="0"/>
        <w:kinsoku/>
        <w:wordWrap/>
        <w:overflowPunct/>
        <w:topLinePunct w:val="0"/>
        <w:bidi w:val="0"/>
        <w:snapToGrid w:val="0"/>
        <w:spacing w:line="586" w:lineRule="exact"/>
        <w:ind w:firstLine="640" w:firstLineChars="20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sz w:val="32"/>
          <w:szCs w:val="32"/>
        </w:rPr>
        <w:t>这种复合种植模式已经在四川等西南地区推广了十几年，种植模式和种植技术已经比较成熟，并多年纳入农业农村部推介的主推技术，受制于各种原因，我区一直以传统的间套种为主，新型带状复合种植没有在我区大面积示范推广。2022年中央一号文件指出：“大力实施大豆和油料产能提升工程……推广</w:t>
      </w:r>
      <w:bookmarkStart w:id="0" w:name="_Hlk97193525"/>
      <w:r>
        <w:rPr>
          <w:rFonts w:hint="default" w:ascii="Times New Roman" w:hAnsi="Times New Roman" w:eastAsia="仿宋_GB2312" w:cs="Times New Roman"/>
          <w:b w:val="0"/>
          <w:bCs/>
          <w:sz w:val="32"/>
          <w:szCs w:val="32"/>
        </w:rPr>
        <w:t>玉米大豆</w:t>
      </w:r>
      <w:bookmarkEnd w:id="0"/>
      <w:r>
        <w:rPr>
          <w:rFonts w:hint="default" w:ascii="Times New Roman" w:hAnsi="Times New Roman" w:eastAsia="仿宋_GB2312" w:cs="Times New Roman"/>
          <w:b w:val="0"/>
          <w:bCs/>
          <w:sz w:val="32"/>
          <w:szCs w:val="32"/>
        </w:rPr>
        <w:t>带状复合种植”，我区迅速行动，组织专家进行座谈研究，在四川大豆玉米带状复合种植技术与模式的基础上，创新提出了符合广西生产实际的双季大豆玉米带状复合种植技术，主要有春玉米间种春大豆带状复合种植、春玉米套种夏大豆秋季带状复合种植以及秋玉米间种夏大豆带状复合种植三种种植模式， 2022年、2023年连续两年在不同区域开展了试验示范和示范推广，取得了较好的稳产增收成效。</w:t>
      </w:r>
    </w:p>
    <w:p>
      <w:pPr>
        <w:keepNext w:val="0"/>
        <w:keepLines w:val="0"/>
        <w:pageBreakBefore w:val="0"/>
        <w:numPr>
          <w:ilvl w:val="0"/>
          <w:numId w:val="2"/>
        </w:numPr>
        <w:kinsoku/>
        <w:wordWrap/>
        <w:overflowPunct/>
        <w:topLinePunct w:val="0"/>
        <w:bidi w:val="0"/>
        <w:snapToGrid w:val="0"/>
        <w:spacing w:line="586" w:lineRule="exact"/>
        <w:ind w:firstLine="640"/>
        <w:textAlignment w:val="auto"/>
        <w:rPr>
          <w:rFonts w:hint="default" w:ascii="Times New Roman" w:hAnsi="Times New Roman" w:eastAsia="楷体_GB2312" w:cs="Times New Roman"/>
          <w:b w:val="0"/>
          <w:bCs/>
          <w:color w:val="000000"/>
          <w:sz w:val="32"/>
          <w:szCs w:val="32"/>
        </w:rPr>
      </w:pPr>
      <w:r>
        <w:rPr>
          <w:rFonts w:hint="default" w:ascii="Times New Roman" w:hAnsi="Times New Roman" w:eastAsia="楷体_GB2312" w:cs="Times New Roman"/>
          <w:b w:val="0"/>
          <w:bCs/>
          <w:color w:val="000000"/>
          <w:sz w:val="32"/>
          <w:szCs w:val="32"/>
        </w:rPr>
        <w:t>技术示范推广情况（推荐技术示范展示范围，在各级农业科技示范展示基地等示范推广情况）</w:t>
      </w:r>
    </w:p>
    <w:p>
      <w:pPr>
        <w:keepNext w:val="0"/>
        <w:keepLines w:val="0"/>
        <w:pageBreakBefore w:val="0"/>
        <w:widowControl/>
        <w:kinsoku/>
        <w:wordWrap/>
        <w:overflowPunct/>
        <w:topLinePunct w:val="0"/>
        <w:bidi w:val="0"/>
        <w:spacing w:line="586" w:lineRule="exact"/>
        <w:ind w:firstLine="640"/>
        <w:textAlignment w:val="auto"/>
        <w:rPr>
          <w:rFonts w:hint="default" w:ascii="Times New Roman" w:hAnsi="Times New Roman" w:eastAsia="仿宋_GB2312" w:cs="Times New Roman"/>
          <w:b w:val="0"/>
          <w:bCs/>
          <w:kern w:val="0"/>
          <w:sz w:val="32"/>
          <w:szCs w:val="32"/>
        </w:rPr>
      </w:pPr>
      <w:r>
        <w:rPr>
          <w:rFonts w:hint="default" w:ascii="Times New Roman" w:hAnsi="Times New Roman" w:eastAsia="仿宋_GB2312" w:cs="Times New Roman"/>
          <w:b w:val="0"/>
          <w:bCs/>
          <w:kern w:val="0"/>
          <w:sz w:val="32"/>
          <w:szCs w:val="32"/>
        </w:rPr>
        <w:t>2022年，该技术在全区14个设区市、94个县（市、区）示范推广21.30万亩；2023年，在全区14个设区市、96个县（市、区）示范推广22.66万亩。 同时，2023年，在全区创建高产示范片166个，面积近1.7万亩。</w:t>
      </w:r>
    </w:p>
    <w:p>
      <w:pPr>
        <w:keepNext w:val="0"/>
        <w:keepLines w:val="0"/>
        <w:pageBreakBefore w:val="0"/>
        <w:widowControl/>
        <w:kinsoku/>
        <w:wordWrap/>
        <w:overflowPunct/>
        <w:topLinePunct w:val="0"/>
        <w:bidi w:val="0"/>
        <w:spacing w:line="586" w:lineRule="exact"/>
        <w:ind w:firstLine="640" w:firstLineChars="200"/>
        <w:textAlignment w:val="auto"/>
        <w:rPr>
          <w:rFonts w:hint="default" w:ascii="Times New Roman" w:hAnsi="Times New Roman" w:eastAsia="楷体" w:cs="Times New Roman"/>
          <w:b w:val="0"/>
          <w:bCs/>
          <w:color w:val="000000"/>
          <w:sz w:val="32"/>
          <w:szCs w:val="32"/>
        </w:rPr>
      </w:pPr>
      <w:r>
        <w:rPr>
          <w:rFonts w:hint="default" w:ascii="Times New Roman" w:hAnsi="Times New Roman" w:eastAsia="楷体" w:cs="Times New Roman"/>
          <w:b w:val="0"/>
          <w:bCs/>
          <w:color w:val="000000"/>
          <w:sz w:val="32"/>
          <w:szCs w:val="32"/>
        </w:rPr>
        <w:t>（三）提质增效情况（技术试验、示范或推广过程中节约成本、提升品质、增加效益、保护耕地与生态环保等情况）</w:t>
      </w:r>
    </w:p>
    <w:p>
      <w:pPr>
        <w:keepNext w:val="0"/>
        <w:keepLines w:val="0"/>
        <w:pageBreakBefore w:val="0"/>
        <w:kinsoku/>
        <w:wordWrap/>
        <w:overflowPunct/>
        <w:topLinePunct w:val="0"/>
        <w:bidi w:val="0"/>
        <w:snapToGrid w:val="0"/>
        <w:spacing w:line="586" w:lineRule="exact"/>
        <w:ind w:left="64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2023年创建的高产示范片，带状复合种植春玉米单产在</w:t>
      </w:r>
    </w:p>
    <w:p>
      <w:pPr>
        <w:keepNext w:val="0"/>
        <w:keepLines w:val="0"/>
        <w:pageBreakBefore w:val="0"/>
        <w:kinsoku/>
        <w:wordWrap/>
        <w:overflowPunct/>
        <w:topLinePunct w:val="0"/>
        <w:bidi w:val="0"/>
        <w:snapToGrid w:val="0"/>
        <w:spacing w:line="586" w:lineRule="exact"/>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310-390公斤/亩之间，高于2022年带状复合种植的玉米单产水平（280.62公斤/亩）；都安县等部分示范片玉米单产362公斤/亩，大豆单产102公斤/亩，示范片实现了玉米基本不减产、多收一季大豆的目标。</w:t>
      </w:r>
    </w:p>
    <w:p>
      <w:pPr>
        <w:keepNext w:val="0"/>
        <w:keepLines w:val="0"/>
        <w:pageBreakBefore w:val="0"/>
        <w:kinsoku/>
        <w:wordWrap/>
        <w:overflowPunct/>
        <w:topLinePunct w:val="0"/>
        <w:bidi w:val="0"/>
        <w:snapToGrid w:val="0"/>
        <w:spacing w:line="586" w:lineRule="exact"/>
        <w:ind w:firstLine="640" w:firstLineChars="200"/>
        <w:textAlignment w:val="auto"/>
        <w:rPr>
          <w:rFonts w:hint="default" w:ascii="Times New Roman" w:hAnsi="Times New Roman" w:eastAsia="楷体_GB2312" w:cs="Times New Roman"/>
          <w:b w:val="0"/>
          <w:bCs/>
          <w:color w:val="000000"/>
          <w:sz w:val="32"/>
          <w:szCs w:val="32"/>
        </w:rPr>
      </w:pPr>
      <w:r>
        <w:rPr>
          <w:rFonts w:hint="default" w:ascii="Times New Roman" w:hAnsi="Times New Roman" w:eastAsia="楷体" w:cs="Times New Roman"/>
          <w:b w:val="0"/>
          <w:bCs/>
          <w:color w:val="000000"/>
          <w:sz w:val="32"/>
          <w:szCs w:val="32"/>
        </w:rPr>
        <w:t>（四）技术获奖情况</w:t>
      </w:r>
      <w:r>
        <w:rPr>
          <w:rFonts w:hint="default" w:ascii="Times New Roman" w:hAnsi="Times New Roman" w:eastAsia="楷体_GB2312" w:cs="Times New Roman"/>
          <w:b w:val="0"/>
          <w:bCs/>
          <w:color w:val="000000"/>
          <w:sz w:val="32"/>
          <w:szCs w:val="32"/>
        </w:rPr>
        <w:t>（该技术为核心的科技成果获得科技奖励等情况）</w:t>
      </w:r>
    </w:p>
    <w:p>
      <w:pPr>
        <w:keepNext w:val="0"/>
        <w:keepLines w:val="0"/>
        <w:pageBreakBefore w:val="0"/>
        <w:kinsoku/>
        <w:wordWrap/>
        <w:overflowPunct/>
        <w:topLinePunct w:val="0"/>
        <w:bidi w:val="0"/>
        <w:adjustRightInd w:val="0"/>
        <w:snapToGrid w:val="0"/>
        <w:spacing w:line="586" w:lineRule="exact"/>
        <w:ind w:firstLine="640" w:firstLineChars="20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该技术入选2022年农业农村部主导品种主推技术。</w:t>
      </w:r>
    </w:p>
    <w:p>
      <w:pPr>
        <w:keepNext w:val="0"/>
        <w:keepLines w:val="0"/>
        <w:pageBreakBefore w:val="0"/>
        <w:numPr>
          <w:ilvl w:val="0"/>
          <w:numId w:val="3"/>
        </w:numPr>
        <w:kinsoku/>
        <w:wordWrap/>
        <w:overflowPunct/>
        <w:topLinePunct w:val="0"/>
        <w:bidi w:val="0"/>
        <w:snapToGrid w:val="0"/>
        <w:spacing w:line="586"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黑体" w:cs="Times New Roman"/>
          <w:b w:val="0"/>
          <w:bCs/>
          <w:color w:val="000000"/>
          <w:sz w:val="32"/>
          <w:szCs w:val="32"/>
        </w:rPr>
        <w:t>技术要点（核心技术及其配套技术主要内容）</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核心技术为扩行距、缩株距、保密度、增大豆（扩距增光、缩株保密、腾地种豆），通过扩大玉米带与大豆带间距至60-80cm,充分发挥玉米边行优势，增加大豆冠层光合有效辐射，同时大幅度缩小玉米株穴距，株距由单作时的30cm～32cm缩小至带状复合种植时的15cm～18cm，确保玉米密度保持在单作时的3000株/亩～3700株/亩，适度缩小大豆株穴距，达到清种密度的70%左右。再配套精细播种、合理增密、科学施肥、杂草防控、化学控旺、病虫防治等技术措施。</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品种选用</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带状复合种植春玉米、秋玉米品种应选用株型紧凑或半紧凑、株高中等、耐密抗倒、耐旱抗病的高产优质品种，如青青700、迪卡011、万川1306、青青19号、万千968、桂单907、桂单563、桂单919、金卡1918、正昊玉403等。</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带状复合种植春大豆、夏大豆品种应选择适宜当地生态条件的耐荫、早熟、株型收敛、有限结荚性、抗倒的高产抗病品种。桂西、桂西南、桂西北大石山地区可选如桂春15号、桂春8号、桂1603等春大豆品种及桂夏3号、桂夏7号、桂夏1702、华夏10号等夏大豆品种。桂南、桂东南、桂中丘陵地区可选如桂春15号、桂1603、华春8号、桂春豆108等春大豆品种及桂夏3号、桂夏7号、桂夏1702等夏大豆品种。桂北、桂东北丘陵地区可选如桂春15号、华春8号等春大豆品种及桂夏7号、桂夏1702等夏大豆品种。</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行比配置</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广西可以实行一年两茬带状复合种植，在生产应用上分为间种、套种两种模式。广西主推大豆玉米行比3：2的间作技术模式，试验示范2：2、4：2和4：4。</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大豆玉米行比3：2。每个生产单元宽度为2.4—2.6米，大豆带与玉米带间距60—70厘米（包括开沟宽30—40厘米），玉米行距40厘米，大豆行距30—40厘米。</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大豆玉米行比2：2。每个生产单元宽度为2.2—2.4米，大豆带与玉米带间距60—80厘米（包括开沟宽30—40厘米），玉米行距40厘米，大豆行距40厘米。</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大豆玉米行比4：2。每个生产单元宽度为2.8—3.0米，大豆带与玉米带间距60—80厘米（包括开沟宽30—40厘米），玉米行距40厘米，大豆行距40厘米。</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大豆玉米行比4：4。每个生产单元宽度为4.0—4.8米，大豆带与玉米带间距80厘米（包括开沟宽30—40厘米），玉米宽窄行，中间两行为60—80厘米，其余40厘米；大豆宽窄行，中间两行60—80厘米，其余30—40厘米。</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播种时间和方式</w:t>
      </w:r>
    </w:p>
    <w:p>
      <w:pPr>
        <w:pStyle w:val="4"/>
        <w:keepNext w:val="0"/>
        <w:keepLines w:val="0"/>
        <w:pageBreakBefore w:val="0"/>
        <w:kinsoku/>
        <w:wordWrap/>
        <w:overflowPunct/>
        <w:topLinePunct w:val="0"/>
        <w:bidi w:val="0"/>
        <w:spacing w:line="586" w:lineRule="exact"/>
        <w:ind w:firstLine="643"/>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播种时间及土壤水分要求</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bookmarkStart w:id="1" w:name="_Toc21851"/>
      <w:bookmarkStart w:id="2" w:name="_Toc15663"/>
      <w:bookmarkStart w:id="3" w:name="_Toc30652"/>
      <w:r>
        <w:rPr>
          <w:rFonts w:hint="default" w:ascii="Times New Roman" w:hAnsi="Times New Roman" w:eastAsia="仿宋_GB2312" w:cs="Times New Roman"/>
          <w:b w:val="0"/>
          <w:bCs/>
          <w:sz w:val="32"/>
          <w:szCs w:val="32"/>
        </w:rPr>
        <w:t>适期适墒播种</w:t>
      </w:r>
      <w:bookmarkEnd w:id="1"/>
      <w:bookmarkEnd w:id="2"/>
      <w:bookmarkEnd w:id="3"/>
      <w:r>
        <w:rPr>
          <w:rFonts w:hint="default" w:ascii="Times New Roman" w:hAnsi="Times New Roman" w:eastAsia="仿宋_GB2312" w:cs="Times New Roman"/>
          <w:b w:val="0"/>
          <w:bCs/>
          <w:sz w:val="32"/>
          <w:szCs w:val="32"/>
        </w:rPr>
        <w:t>：广西春玉米－春大豆带状复合间种模式掌握在春季土层深度5厘米温度稳定在10℃以上时即可播种。春玉米收获前20天左右免耕带状套种夏大豆，春大豆收获后免耕播种夏秋玉米。播种时，要保</w:t>
      </w:r>
      <w:bookmarkStart w:id="4" w:name="_GoBack"/>
      <w:bookmarkEnd w:id="4"/>
      <w:r>
        <w:rPr>
          <w:rFonts w:hint="default" w:ascii="Times New Roman" w:hAnsi="Times New Roman" w:eastAsia="仿宋_GB2312" w:cs="Times New Roman"/>
          <w:b w:val="0"/>
          <w:bCs/>
          <w:sz w:val="32"/>
          <w:szCs w:val="32"/>
        </w:rPr>
        <w:t>证土壤含水量为70%—80%，手抓起土壤，握紧能成团，一米高放开，落地后能散开，即可播种。</w:t>
      </w:r>
    </w:p>
    <w:p>
      <w:pPr>
        <w:pStyle w:val="4"/>
        <w:keepNext w:val="0"/>
        <w:keepLines w:val="0"/>
        <w:pageBreakBefore w:val="0"/>
        <w:kinsoku/>
        <w:wordWrap/>
        <w:overflowPunct/>
        <w:topLinePunct w:val="0"/>
        <w:bidi w:val="0"/>
        <w:spacing w:line="586" w:lineRule="exact"/>
        <w:ind w:firstLine="643"/>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播种方式及播种机具</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可根据当地机械配备情况，选择机械播种或半人工（播种器）播种、人工播种三种方式。</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机械播种：根据不同模式，选用相适应的大豆玉米带状复合种植播种一体机，“4：4”模式可选用2行式精量播种一体机分带播种。播种一体机要求配套动力为30马力以上，工作行数4-6行，根据复合种植播种机带宽调节大豆行距为30—40厘米，大豆带与玉米带间距为60—80厘米，玉米行距为40厘米，大豆行距30-40厘米，大豆、玉米穴距为13—25厘米，同时需要有开沟、播种、施肥和覆土功能。</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半人工（播种器）播种：选择机具性能较好，株（穴）距适宜或可调的手推滚动式穴播机。</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人工播种：按选用的大豆玉米行比技术模式的田间设置规格（行距、株距、边距等）精细播种，播种深度2—3厘米，播种后稍微压实盖种细土。</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因为大豆玉米共生期越短，产量越高。带状间作可根据当地气候条件及生产实际，选择大豆先播种或者大豆玉米同时播种。带状间作先播大豆，15—20天后再播种玉米，这样产量更高。带状套作遵循“夏大豆与春玉米共生时间不超过20天”原则，一般在6月中下旬套种夏大豆或夏秋玉米。</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适宜密度</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带状复合种植玉米密度应与当地同品种净作玉米密度相当，一行玉米的株数相当于净作玉米2行的株数，广西主推的玉米品种以半紧凑型为主，带状复合种植要求有效株数为3000—3500株/亩；大豆密度应根据大豆品种分枝类型及高度适当调节，以不徒长倒伏为标准，最多可达到当地同品种净作大豆密度的70%。</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大豆玉米行比3：2模式。玉米株距15—17厘米，每亩有效株数为3010—3700株（单株/穴），大豆穴距20—22厘米，每亩种植6990—8330株（2株/穴）。</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大豆玉米行比2：2模式。玉米株距16—18厘米，每亩种植3080—3780株（单株/穴，播种2粒、留苗1株），大豆穴距16—18厘米，每亩种植6170—7570株。</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大豆玉米行比4：2模式。玉米株距13—14厘米，每亩有效株数为3170—3660株（单株/穴）；大豆穴距20—25厘米，每亩有效株数为7110—9520株（2株/穴）。</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大豆玉米行比4：4模式。玉米株距16—18厘米，每亩有效株数为3080—3700株（单株/穴）；大豆穴距16—18厘米，每亩有效株数为6100—7400株（2株/穴）。</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合理施肥</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基本原则：大豆玉米分别控制施肥；玉米施足氮肥，大豆少施或不施氮肥；带状复合种植玉米单株施肥量与净作玉米单株施肥量相同，1行玉米施肥量相当于净作2行玉米施肥量，采用大豆玉米带状复合种植播种一体机播种，玉米的下肥量调整为净作玉米下肥量的2倍。</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广西带状复合种植玉米在施足有机肥的基础上，一般亩施纯氮15—20公斤，氮磷钾平衡施肥（N：P</w:t>
      </w:r>
      <w:r>
        <w:rPr>
          <w:rFonts w:hint="default" w:ascii="Times New Roman" w:hAnsi="Times New Roman" w:eastAsia="仿宋_GB2312" w:cs="Times New Roman"/>
          <w:b w:val="0"/>
          <w:bCs/>
          <w:sz w:val="32"/>
          <w:szCs w:val="32"/>
          <w:vertAlign w:val="subscript"/>
        </w:rPr>
        <w:t>2</w:t>
      </w:r>
      <w:r>
        <w:rPr>
          <w:rFonts w:hint="default" w:ascii="Times New Roman" w:hAnsi="Times New Roman" w:eastAsia="仿宋_GB2312" w:cs="Times New Roman"/>
          <w:b w:val="0"/>
          <w:bCs/>
          <w:sz w:val="32"/>
          <w:szCs w:val="32"/>
        </w:rPr>
        <w:t>O</w:t>
      </w:r>
      <w:r>
        <w:rPr>
          <w:rFonts w:hint="default" w:ascii="Times New Roman" w:hAnsi="Times New Roman" w:eastAsia="仿宋_GB2312" w:cs="Times New Roman"/>
          <w:b w:val="0"/>
          <w:bCs/>
          <w:sz w:val="32"/>
          <w:szCs w:val="32"/>
          <w:vertAlign w:val="subscript"/>
        </w:rPr>
        <w:t>5</w:t>
      </w:r>
      <w:r>
        <w:rPr>
          <w:rFonts w:hint="default" w:ascii="Times New Roman" w:hAnsi="Times New Roman" w:eastAsia="仿宋_GB2312" w:cs="Times New Roman"/>
          <w:b w:val="0"/>
          <w:bCs/>
          <w:sz w:val="32"/>
          <w:szCs w:val="32"/>
        </w:rPr>
        <w:t>：K</w:t>
      </w:r>
      <w:r>
        <w:rPr>
          <w:rFonts w:hint="default" w:ascii="Times New Roman" w:hAnsi="Times New Roman" w:eastAsia="仿宋_GB2312" w:cs="Times New Roman"/>
          <w:b w:val="0"/>
          <w:bCs/>
          <w:sz w:val="32"/>
          <w:szCs w:val="32"/>
          <w:vertAlign w:val="subscript"/>
        </w:rPr>
        <w:t>2</w:t>
      </w:r>
      <w:r>
        <w:rPr>
          <w:rFonts w:hint="default" w:ascii="Times New Roman" w:hAnsi="Times New Roman" w:eastAsia="仿宋_GB2312" w:cs="Times New Roman"/>
          <w:b w:val="0"/>
          <w:bCs/>
          <w:sz w:val="32"/>
          <w:szCs w:val="32"/>
        </w:rPr>
        <w:t>O=1：0.5：0.8—1.0）。带状复合种植玉米底肥不得全田撒施。</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玉米前期施肥量（底肥、种肥）一般按氮肥、钾肥总施肥量的50%和磷肥的100%施用；在8叶期追施攻秆肥，一般亩施氮肥总施肥量的15%—20%；在12叶追施攻苞肥，一般亩施氮肥总施肥量的30%—35%、钾肥总施肥量的50%。施肥后机械培土或人工培土盖肥。玉米生长后期视长势可以补施或叶面追施少量氮磷钾和微肥。</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带状复合种植大豆的施肥方法是：一般低肥力地块每亩施纯氮3—5公斤，中等肥力地块每亩施纯氮2—3公斤，高肥力地块不施氮肥。大豆施肥应在整地时提前作底肥撒施或在播种时作种肥施用。大豆后期肥力不足可施尿素3—5公斤/亩或用1%尿素水溶液叶面喷施。</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除草方法</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杂草防除要坚持“治早治小”的原则，根据当地草情和杂草种类，选对药剂做好芽前封闭和苗后除草。</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芽前封闭可用96%精异丙甲草胺乳油，如阔叶草较多可混加75%噻吩磺隆进行封闭除草，如播种前田间已有前茬作物或杂草出苗，可混加适量草甘膦或草铵膦进行封闭除草。封闭除草应在雨后无风、土壤湿润条件下进行，播种后2天之内完成，切忌选用对下茬作物有残留危害的除草剂。芽前封闭可使用背负式喷雾器或打药机全田均匀喷施。</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苗后除草要优先选择同时登记在大豆和玉米上的除草剂。大豆玉米套作或间作田间杂草谱复杂时，应分别针对大豆带和玉米带进行定向喷施除草剂。人工喷药除草可选用自走式单杆喷雾机或背负式喷雾器加装定向喷头和定向罩子，分别对着大豆带或玉米带喷药，喷头离地高度以喷药雾滴不超出大豆带或玉米带为准，选择不是同时登记在大豆和玉米上的除草剂的，严禁药滴超出大豆带或玉米带，定向喷施除草剂应在无风的下午进行。</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中后期杂草防除可与玉米施肥培土相结合。</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化学控旺</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春大豆、夏大豆根据旺长程度，在分枝期或初花期可选用在大豆作物上已取得登记的植物生长调节剂进行喷雾，如10%多唑・甲派鎓等。各地也可在试验示范基础上选用5%烯效唑等药剂。</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玉米植株偏高情况下，可在7—10片展开叶期茎叶喷施50%矮壮素、30%胺鲜酯・乙烯利、15%多效唑等。严格按照产品使用说明书推荐浓度和时期施用，不漏喷、重喷。</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病虫防治</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根据大豆玉米带状复合种植病虫害发生特点，加强田间病虫调查监测，准确掌握病虫发生动态，做到及时发现、适时防治。尽可能协调采用农艺、物理、生物、化学等有效技术措施进行综合防控病虫危害。施用化学药剂过程要严格执行农药安全使用操作规程，注意合理轮换用药和安全间隔期。</w:t>
      </w:r>
    </w:p>
    <w:p>
      <w:pPr>
        <w:pStyle w:val="3"/>
        <w:keepNext w:val="0"/>
        <w:keepLines w:val="0"/>
        <w:pageBreakBefore w:val="0"/>
        <w:numPr>
          <w:ilvl w:val="0"/>
          <w:numId w:val="4"/>
        </w:numPr>
        <w:kinsoku/>
        <w:wordWrap/>
        <w:overflowPunct/>
        <w:topLinePunct w:val="0"/>
        <w:bidi w:val="0"/>
        <w:spacing w:line="586" w:lineRule="exact"/>
        <w:ind w:firstLine="64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收获方法</w:t>
      </w:r>
    </w:p>
    <w:p>
      <w:pPr>
        <w:keepNext w:val="0"/>
        <w:keepLines w:val="0"/>
        <w:pageBreakBefore w:val="0"/>
        <w:kinsoku/>
        <w:wordWrap/>
        <w:overflowPunct/>
        <w:topLinePunct w:val="0"/>
        <w:bidi w:val="0"/>
        <w:spacing w:line="586"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广西大豆、玉米品种生育期不同，种植模式多种多样，间种或者套种极少情况下能够同时收获，带状复合种植以大豆先收、玉米后收为主。</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人工收获：大豆叶片大部分变黄脱落，90%豆荚变为成熟颜色（品种特有的颜色），摇动时开始有响声的植株达50%以上时，即可人工分批收获。春玉米苞叶枯黄、籽粒变硬、乳线消失后即成熟，可抢晴人工收获；秋玉米成熟后天气比较干爽，可适当延期收获以提高籽粒充实度。</w:t>
      </w:r>
    </w:p>
    <w:p>
      <w:pPr>
        <w:keepNext w:val="0"/>
        <w:keepLines w:val="0"/>
        <w:pageBreakBefore w:val="0"/>
        <w:kinsoku/>
        <w:wordWrap/>
        <w:overflowPunct/>
        <w:topLinePunct w:val="0"/>
        <w:bidi w:val="0"/>
        <w:spacing w:line="586" w:lineRule="exact"/>
        <w:ind w:firstLine="643"/>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sz w:val="32"/>
          <w:szCs w:val="32"/>
        </w:rPr>
        <w:t>机械收获：大豆在九成成熟、粒用玉米完熟期（籽粒变硬、乳线消失）时即可收获。大豆收割机具可选择窄幅履带自走式大豆收获机或者全喂入谷物联合收获机；大豆收获后，收获玉米可选择自走式玉米收获机或者全喂入谷物联合收获机。收获机具需要机手熟练操作，以免收割夹带损伤尚未可以收获的玉米或大豆植株。</w:t>
      </w:r>
    </w:p>
    <w:p>
      <w:pPr>
        <w:keepNext w:val="0"/>
        <w:keepLines w:val="0"/>
        <w:pageBreakBefore w:val="0"/>
        <w:kinsoku/>
        <w:wordWrap/>
        <w:overflowPunct/>
        <w:topLinePunct w:val="0"/>
        <w:bidi w:val="0"/>
        <w:adjustRightInd w:val="0"/>
        <w:snapToGrid w:val="0"/>
        <w:spacing w:line="586" w:lineRule="exact"/>
        <w:ind w:firstLine="640"/>
        <w:textAlignment w:val="auto"/>
        <w:rPr>
          <w:rFonts w:hint="default" w:ascii="Times New Roman" w:hAnsi="Times New Roman" w:eastAsia="黑体" w:cs="Times New Roman"/>
          <w:b w:val="0"/>
          <w:bCs/>
          <w:color w:val="000000"/>
          <w:sz w:val="32"/>
          <w:szCs w:val="32"/>
        </w:rPr>
      </w:pPr>
      <w:r>
        <w:rPr>
          <w:rFonts w:hint="default" w:ascii="Times New Roman" w:hAnsi="Times New Roman" w:eastAsia="黑体" w:cs="Times New Roman"/>
          <w:b w:val="0"/>
          <w:bCs/>
          <w:color w:val="000000"/>
          <w:sz w:val="32"/>
          <w:szCs w:val="32"/>
        </w:rPr>
        <w:t>三、适宜区域（适应推广应用的主要区域）</w:t>
      </w:r>
    </w:p>
    <w:p>
      <w:pPr>
        <w:keepNext w:val="0"/>
        <w:keepLines w:val="0"/>
        <w:pageBreakBefore w:val="0"/>
        <w:kinsoku/>
        <w:wordWrap/>
        <w:overflowPunct/>
        <w:topLinePunct w:val="0"/>
        <w:bidi w:val="0"/>
        <w:snapToGrid w:val="0"/>
        <w:spacing w:line="586" w:lineRule="exact"/>
        <w:ind w:firstLine="640" w:firstLineChars="20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广西各玉米、大豆种植区域均可推广应用</w:t>
      </w:r>
    </w:p>
    <w:p>
      <w:pPr>
        <w:keepNext w:val="0"/>
        <w:keepLines w:val="0"/>
        <w:pageBreakBefore w:val="0"/>
        <w:numPr>
          <w:ilvl w:val="0"/>
          <w:numId w:val="5"/>
        </w:numPr>
        <w:kinsoku/>
        <w:wordWrap/>
        <w:overflowPunct/>
        <w:topLinePunct w:val="0"/>
        <w:bidi w:val="0"/>
        <w:adjustRightInd w:val="0"/>
        <w:snapToGrid w:val="0"/>
        <w:spacing w:line="586" w:lineRule="exact"/>
        <w:ind w:firstLine="640"/>
        <w:textAlignment w:val="auto"/>
        <w:rPr>
          <w:rFonts w:hint="default" w:ascii="Times New Roman" w:hAnsi="Times New Roman" w:eastAsia="黑体" w:cs="Times New Roman"/>
          <w:b w:val="0"/>
          <w:bCs/>
          <w:color w:val="000000"/>
          <w:sz w:val="32"/>
          <w:szCs w:val="32"/>
        </w:rPr>
      </w:pPr>
      <w:r>
        <w:rPr>
          <w:rFonts w:hint="default" w:ascii="Times New Roman" w:hAnsi="Times New Roman" w:eastAsia="黑体" w:cs="Times New Roman"/>
          <w:b w:val="0"/>
          <w:bCs/>
          <w:color w:val="000000"/>
          <w:sz w:val="32"/>
          <w:szCs w:val="32"/>
        </w:rPr>
        <w:t>注意事项（在技术推广应用过程中需特别注意的环节）</w:t>
      </w:r>
    </w:p>
    <w:p>
      <w:pPr>
        <w:keepNext w:val="0"/>
        <w:keepLines w:val="0"/>
        <w:pageBreakBefore w:val="0"/>
        <w:widowControl/>
        <w:kinsoku/>
        <w:wordWrap/>
        <w:overflowPunct/>
        <w:topLinePunct w:val="0"/>
        <w:bidi w:val="0"/>
        <w:spacing w:line="586" w:lineRule="exact"/>
        <w:ind w:firstLine="640" w:firstLineChars="200"/>
        <w:textAlignment w:val="auto"/>
        <w:rPr>
          <w:rFonts w:hint="default" w:ascii="Times New Roman" w:hAnsi="Times New Roman" w:eastAsia="仿宋_GB2312" w:cs="Times New Roman"/>
          <w:b w:val="0"/>
          <w:bCs/>
          <w:kern w:val="0"/>
          <w:sz w:val="32"/>
          <w:szCs w:val="32"/>
        </w:rPr>
      </w:pPr>
      <w:r>
        <w:rPr>
          <w:rFonts w:hint="default" w:ascii="Times New Roman" w:hAnsi="Times New Roman" w:eastAsia="仿宋_GB2312" w:cs="Times New Roman"/>
          <w:b w:val="0"/>
          <w:bCs/>
          <w:kern w:val="0"/>
          <w:sz w:val="32"/>
          <w:szCs w:val="32"/>
        </w:rPr>
        <w:t>1.玉米种植密度要与单作（净作）时相当，一行玉米的株数相当于净作玉米2行的株数，确保密度不减。</w:t>
      </w:r>
    </w:p>
    <w:p>
      <w:pPr>
        <w:keepNext w:val="0"/>
        <w:keepLines w:val="0"/>
        <w:pageBreakBefore w:val="0"/>
        <w:kinsoku/>
        <w:wordWrap/>
        <w:overflowPunct/>
        <w:topLinePunct w:val="0"/>
        <w:bidi w:val="0"/>
        <w:spacing w:line="586"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kern w:val="0"/>
          <w:sz w:val="32"/>
          <w:szCs w:val="32"/>
        </w:rPr>
        <w:t>2.大豆玉米分别控制施肥。玉米单株施氮量要与单作（净作）时相同，要施足氮肥，且玉米底肥不得全田撒施。大豆少施或不施氮。</w:t>
      </w:r>
    </w:p>
    <w:p>
      <w:pPr>
        <w:keepNext w:val="0"/>
        <w:keepLines w:val="0"/>
        <w:pageBreakBefore w:val="0"/>
        <w:kinsoku/>
        <w:wordWrap/>
        <w:overflowPunct/>
        <w:topLinePunct w:val="0"/>
        <w:bidi w:val="0"/>
        <w:adjustRightInd w:val="0"/>
        <w:snapToGrid w:val="0"/>
        <w:spacing w:line="586" w:lineRule="exact"/>
        <w:ind w:firstLine="640" w:firstLineChars="20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3.大豆玉米苗后除草要优先选择同时登记在大豆和玉米上的除草剂。大豆玉米套作或间作田间杂草谱复杂时，应分别针对大豆带和玉米带进行定向喷施除草剂。</w:t>
      </w:r>
    </w:p>
    <w:p>
      <w:pPr>
        <w:keepNext w:val="0"/>
        <w:keepLines w:val="0"/>
        <w:pageBreakBefore w:val="0"/>
        <w:kinsoku/>
        <w:wordWrap/>
        <w:overflowPunct/>
        <w:topLinePunct w:val="0"/>
        <w:bidi w:val="0"/>
        <w:adjustRightInd w:val="0"/>
        <w:snapToGrid w:val="0"/>
        <w:spacing w:line="586" w:lineRule="exact"/>
        <w:ind w:firstLine="640" w:firstLineChars="200"/>
        <w:textAlignment w:val="auto"/>
        <w:rPr>
          <w:rFonts w:hint="default" w:ascii="Times New Roman" w:hAnsi="Times New Roman" w:eastAsia="仿宋_GB2312" w:cs="Times New Roman"/>
          <w:b w:val="0"/>
          <w:bCs/>
          <w:color w:val="auto"/>
          <w:sz w:val="32"/>
          <w:szCs w:val="32"/>
        </w:rPr>
      </w:pPr>
    </w:p>
    <w:p>
      <w:pPr>
        <w:keepNext w:val="0"/>
        <w:keepLines w:val="0"/>
        <w:pageBreakBefore w:val="0"/>
        <w:kinsoku/>
        <w:wordWrap/>
        <w:overflowPunct/>
        <w:topLinePunct w:val="0"/>
        <w:bidi w:val="0"/>
        <w:spacing w:line="586" w:lineRule="exact"/>
        <w:textAlignment w:val="auto"/>
        <w:rPr>
          <w:b w:val="0"/>
          <w:bCs/>
        </w:rPr>
      </w:pPr>
    </w:p>
    <w:sectPr>
      <w:footerReference r:id="rId3" w:type="default"/>
      <w:pgSz w:w="11906" w:h="16838"/>
      <w:pgMar w:top="2098" w:right="1304" w:bottom="1304" w:left="1587" w:header="851" w:footer="136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C4256"/>
    <w:multiLevelType w:val="singleLevel"/>
    <w:tmpl w:val="9BDC4256"/>
    <w:lvl w:ilvl="0" w:tentative="0">
      <w:start w:val="2"/>
      <w:numFmt w:val="chineseCounting"/>
      <w:suff w:val="nothing"/>
      <w:lvlText w:val="（%1）"/>
      <w:lvlJc w:val="left"/>
      <w:rPr>
        <w:rFonts w:hint="eastAsia"/>
      </w:rPr>
    </w:lvl>
  </w:abstractNum>
  <w:abstractNum w:abstractNumId="1">
    <w:nsid w:val="9FA6DC63"/>
    <w:multiLevelType w:val="singleLevel"/>
    <w:tmpl w:val="9FA6DC63"/>
    <w:lvl w:ilvl="0" w:tentative="0">
      <w:start w:val="4"/>
      <w:numFmt w:val="chineseCounting"/>
      <w:suff w:val="nothing"/>
      <w:lvlText w:val="%1、"/>
      <w:lvlJc w:val="left"/>
      <w:rPr>
        <w:rFonts w:hint="eastAsia"/>
      </w:rPr>
    </w:lvl>
  </w:abstractNum>
  <w:abstractNum w:abstractNumId="2">
    <w:nsid w:val="252B1FF3"/>
    <w:multiLevelType w:val="singleLevel"/>
    <w:tmpl w:val="252B1FF3"/>
    <w:lvl w:ilvl="0" w:tentative="0">
      <w:start w:val="1"/>
      <w:numFmt w:val="chineseCounting"/>
      <w:suff w:val="nothing"/>
      <w:lvlText w:val="（%1）"/>
      <w:lvlJc w:val="left"/>
      <w:pPr>
        <w:ind w:left="0" w:firstLine="420"/>
      </w:pPr>
      <w:rPr>
        <w:rFonts w:hint="eastAsia"/>
      </w:rPr>
    </w:lvl>
  </w:abstractNum>
  <w:abstractNum w:abstractNumId="3">
    <w:nsid w:val="638D7618"/>
    <w:multiLevelType w:val="singleLevel"/>
    <w:tmpl w:val="638D7618"/>
    <w:lvl w:ilvl="0" w:tentative="0">
      <w:start w:val="1"/>
      <w:numFmt w:val="chineseCounting"/>
      <w:suff w:val="nothing"/>
      <w:lvlText w:val="（%1）"/>
      <w:lvlJc w:val="left"/>
      <w:pPr>
        <w:ind w:left="0" w:firstLine="420"/>
      </w:pPr>
      <w:rPr>
        <w:rFonts w:hint="eastAsia"/>
      </w:rPr>
    </w:lvl>
  </w:abstractNum>
  <w:abstractNum w:abstractNumId="4">
    <w:nsid w:val="79AE40DE"/>
    <w:multiLevelType w:val="singleLevel"/>
    <w:tmpl w:val="79AE40DE"/>
    <w:lvl w:ilvl="0" w:tentative="0">
      <w:start w:val="2"/>
      <w:numFmt w:val="chineseCounting"/>
      <w:suff w:val="nothing"/>
      <w:lvlText w:val="%1、"/>
      <w:lvlJc w:val="left"/>
      <w:rPr>
        <w:rFonts w:hint="eastAsia" w:ascii="黑体" w:hAnsi="黑体" w:eastAsia="黑体" w:cs="黑体"/>
        <w:sz w:val="32"/>
        <w:szCs w:val="32"/>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ZTBjZTZkNmFhMzM2ZDM0MmM3NGI4ZjRiNWI0ZTcifQ=="/>
  </w:docVars>
  <w:rsids>
    <w:rsidRoot w:val="2BCE6E70"/>
    <w:rsid w:val="270A418A"/>
    <w:rsid w:val="2BCE6E70"/>
    <w:rsid w:val="523E4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9"/>
    <w:pPr>
      <w:jc w:val="left"/>
      <w:outlineLvl w:val="1"/>
    </w:pPr>
    <w:rPr>
      <w:rFonts w:eastAsia="黑体"/>
    </w:rPr>
  </w:style>
  <w:style w:type="paragraph" w:styleId="4">
    <w:name w:val="heading 3"/>
    <w:basedOn w:val="1"/>
    <w:next w:val="1"/>
    <w:autoRedefine/>
    <w:qFormat/>
    <w:uiPriority w:val="0"/>
    <w:pPr>
      <w:keepNext/>
      <w:keepLines/>
      <w:jc w:val="left"/>
      <w:outlineLvl w:val="2"/>
    </w:pPr>
    <w:rPr>
      <w:rFonts w:ascii="Times New Roman" w:hAnsi="Times New Roman" w:eastAsia="楷体_GB2312"/>
      <w:b/>
      <w:kern w:val="0"/>
      <w:sz w:val="20"/>
      <w:szCs w:val="20"/>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2024-05-17T07:59:00Z</dcterms:created>
  <dc:creator>眸序</dc:creator>
  <cp:lastModifiedBy>眸序</cp:lastModifiedBy>
  <cp:lastPrinted>2024-05-17T08:02:58Z</cp:lastPrinted>
  <dcterms:modified xsi:type="dcterms:W3CDTF">2024-05-17T08:03:00Z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60C3CF1AAF0B4BCFA2CED28EBC3481B1_11</vt:lpwstr>
  </property>
</Properties>
</file>